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23768" w14:textId="46C78BC4" w:rsidR="005815BB" w:rsidRPr="00AB0938" w:rsidRDefault="005815BB" w:rsidP="00AB0938">
      <w:pPr>
        <w:rPr>
          <w:rFonts w:ascii="Calibri" w:eastAsia="Calibri" w:hAnsi="Calibri"/>
          <w:bCs/>
          <w:sz w:val="22"/>
          <w:szCs w:val="22"/>
        </w:rPr>
      </w:pPr>
      <w:r>
        <w:rPr>
          <w:bCs/>
          <w:noProof/>
        </w:rPr>
        <w:drawing>
          <wp:anchor distT="0" distB="0" distL="114300" distR="114300" simplePos="0" relativeHeight="251658240" behindDoc="0" locked="0" layoutInCell="1" allowOverlap="1" wp14:anchorId="2F942DD4" wp14:editId="2E686096">
            <wp:simplePos x="0" y="0"/>
            <wp:positionH relativeFrom="margin">
              <wp:align>left</wp:align>
            </wp:positionH>
            <wp:positionV relativeFrom="paragraph">
              <wp:posOffset>0</wp:posOffset>
            </wp:positionV>
            <wp:extent cx="3610598" cy="12382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ward-health-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10598" cy="1238250"/>
                    </a:xfrm>
                    <a:prstGeom prst="rect">
                      <a:avLst/>
                    </a:prstGeom>
                  </pic:spPr>
                </pic:pic>
              </a:graphicData>
            </a:graphic>
            <wp14:sizeRelH relativeFrom="page">
              <wp14:pctWidth>0</wp14:pctWidth>
            </wp14:sizeRelH>
            <wp14:sizeRelV relativeFrom="page">
              <wp14:pctHeight>0</wp14:pctHeight>
            </wp14:sizeRelV>
          </wp:anchor>
        </w:drawing>
      </w:r>
    </w:p>
    <w:p w14:paraId="753057FC" w14:textId="77777777" w:rsidR="00AB0938" w:rsidRPr="00C27A51" w:rsidRDefault="00AB0938" w:rsidP="00AB0938">
      <w:pPr>
        <w:rPr>
          <w:b/>
          <w:bCs/>
          <w:sz w:val="22"/>
          <w:szCs w:val="22"/>
        </w:rPr>
      </w:pPr>
      <w:r w:rsidRPr="00C27A51">
        <w:rPr>
          <w:b/>
          <w:bCs/>
        </w:rPr>
        <w:t xml:space="preserve">The below questions were asked during the live Interpretive Services trainings on July 20, 2023, and July 25, 2023. The source of these answers comes from ForwardHealth Topic #22917.  </w:t>
      </w:r>
    </w:p>
    <w:p w14:paraId="4A350713" w14:textId="77777777" w:rsidR="00444594" w:rsidRPr="00E3385B" w:rsidRDefault="00444594" w:rsidP="00444594">
      <w:pPr>
        <w:rPr>
          <w:rFonts w:ascii="Calibri" w:hAnsi="Calibri"/>
          <w:sz w:val="22"/>
          <w:szCs w:val="22"/>
        </w:rPr>
      </w:pPr>
    </w:p>
    <w:p w14:paraId="6D888D5C" w14:textId="77777777" w:rsidR="00AB0938" w:rsidRPr="001A089D" w:rsidRDefault="00AB0938" w:rsidP="00AB0938">
      <w:pPr>
        <w:pStyle w:val="ListParagraph"/>
        <w:numPr>
          <w:ilvl w:val="0"/>
          <w:numId w:val="2"/>
        </w:numPr>
        <w:spacing w:after="160" w:line="259" w:lineRule="auto"/>
        <w:contextualSpacing/>
      </w:pPr>
      <w:r w:rsidRPr="001A089D">
        <w:t>Can providers submit interpretive services on claim form 837?</w:t>
      </w:r>
    </w:p>
    <w:p w14:paraId="2AA401E0" w14:textId="77777777" w:rsidR="00AB0938" w:rsidRPr="001A089D" w:rsidRDefault="00AB0938" w:rsidP="00AB0938">
      <w:pPr>
        <w:pStyle w:val="ListParagraph"/>
        <w:numPr>
          <w:ilvl w:val="1"/>
          <w:numId w:val="2"/>
        </w:numPr>
        <w:spacing w:after="160" w:line="259" w:lineRule="auto"/>
        <w:contextualSpacing/>
      </w:pPr>
      <w:r w:rsidRPr="001A089D">
        <w:t>To receive reimbursement, providers may bill for interpretive services on one of the following claim forms:</w:t>
      </w:r>
    </w:p>
    <w:p w14:paraId="70E8C72A" w14:textId="3361881A" w:rsidR="00AB0938" w:rsidRPr="001A089D" w:rsidRDefault="00AB0938" w:rsidP="00AB0938">
      <w:pPr>
        <w:pStyle w:val="ListParagraph"/>
        <w:numPr>
          <w:ilvl w:val="2"/>
          <w:numId w:val="2"/>
        </w:numPr>
        <w:spacing w:after="160" w:line="259" w:lineRule="auto"/>
        <w:contextualSpacing/>
      </w:pPr>
      <w:r w:rsidRPr="001A089D">
        <w:t>Professional 1500 Health Insurance Claim Form</w:t>
      </w:r>
      <w:r>
        <w:t xml:space="preserve"> (and it’s electronic 837 equivalent)</w:t>
      </w:r>
      <w:r w:rsidRPr="001A089D">
        <w:t xml:space="preserve">: for dental, professional, and professional crossover </w:t>
      </w:r>
      <w:r w:rsidR="00C27A51" w:rsidRPr="001A089D">
        <w:t>claims.</w:t>
      </w:r>
    </w:p>
    <w:p w14:paraId="2D2D7977" w14:textId="714C8BE2" w:rsidR="00AB0938" w:rsidRPr="001A089D" w:rsidRDefault="00AB0938" w:rsidP="00AB0938">
      <w:pPr>
        <w:pStyle w:val="ListParagraph"/>
        <w:numPr>
          <w:ilvl w:val="2"/>
          <w:numId w:val="2"/>
        </w:numPr>
        <w:spacing w:after="160" w:line="259" w:lineRule="auto"/>
        <w:contextualSpacing/>
      </w:pPr>
      <w:r w:rsidRPr="001A089D">
        <w:t>Institutional UB-04 (CMS 1450) claim form</w:t>
      </w:r>
      <w:r>
        <w:t xml:space="preserve"> (and </w:t>
      </w:r>
      <w:r w:rsidR="00C27A51">
        <w:t>its</w:t>
      </w:r>
      <w:r>
        <w:t xml:space="preserve"> electronic equivalent)</w:t>
      </w:r>
      <w:r w:rsidRPr="001A089D">
        <w:t xml:space="preserve">: for outpatient crossover </w:t>
      </w:r>
      <w:r w:rsidR="00C27A51" w:rsidRPr="001A089D">
        <w:t>claims.</w:t>
      </w:r>
    </w:p>
    <w:p w14:paraId="44999097" w14:textId="77777777" w:rsidR="00AB0938" w:rsidRPr="001A089D" w:rsidRDefault="00AB0938" w:rsidP="00AB0938">
      <w:pPr>
        <w:pStyle w:val="ListParagraph"/>
        <w:numPr>
          <w:ilvl w:val="0"/>
          <w:numId w:val="2"/>
        </w:numPr>
        <w:spacing w:after="160" w:line="259" w:lineRule="auto"/>
        <w:contextualSpacing/>
      </w:pPr>
      <w:r w:rsidRPr="001A089D">
        <w:t>Can interpretive services code T1013 be billed with a non-covered service?</w:t>
      </w:r>
    </w:p>
    <w:p w14:paraId="524CB9D6" w14:textId="77777777" w:rsidR="00AB0938" w:rsidRDefault="00AB0938" w:rsidP="00AB0938">
      <w:pPr>
        <w:pStyle w:val="ListParagraph"/>
        <w:numPr>
          <w:ilvl w:val="1"/>
          <w:numId w:val="2"/>
        </w:numPr>
        <w:spacing w:after="160" w:line="259" w:lineRule="auto"/>
        <w:contextualSpacing/>
      </w:pPr>
      <w:r w:rsidRPr="001A089D">
        <w:t>No. If T1013 is not paired with a Medicaid covered service, the claim will deny.</w:t>
      </w:r>
      <w:r>
        <w:t xml:space="preserve"> </w:t>
      </w:r>
    </w:p>
    <w:p w14:paraId="64821D6F" w14:textId="77777777" w:rsidR="00AB0938" w:rsidRPr="001A089D" w:rsidRDefault="00AB0938" w:rsidP="00AB0938">
      <w:pPr>
        <w:pStyle w:val="ListParagraph"/>
        <w:numPr>
          <w:ilvl w:val="1"/>
          <w:numId w:val="2"/>
        </w:numPr>
        <w:spacing w:after="160" w:line="259" w:lineRule="auto"/>
        <w:contextualSpacing/>
      </w:pPr>
      <w:r>
        <w:t>See the “Covered Interpretive Services” section of ForwardHealth Topic #22917 for more information.</w:t>
      </w:r>
    </w:p>
    <w:p w14:paraId="6EB00B3B" w14:textId="77777777" w:rsidR="00AB0938" w:rsidRPr="001A089D" w:rsidRDefault="00AB0938" w:rsidP="00AB0938">
      <w:pPr>
        <w:pStyle w:val="ListParagraph"/>
        <w:numPr>
          <w:ilvl w:val="0"/>
          <w:numId w:val="2"/>
        </w:numPr>
        <w:spacing w:after="160" w:line="259" w:lineRule="auto"/>
        <w:contextualSpacing/>
      </w:pPr>
      <w:r w:rsidRPr="001A089D">
        <w:t>Can providers submit one claim for the medical service and one claim for interpretive services?</w:t>
      </w:r>
    </w:p>
    <w:p w14:paraId="72ABC374" w14:textId="77777777" w:rsidR="00AB0938" w:rsidRDefault="00AB0938" w:rsidP="00AB0938">
      <w:pPr>
        <w:pStyle w:val="ListParagraph"/>
        <w:numPr>
          <w:ilvl w:val="1"/>
          <w:numId w:val="2"/>
        </w:numPr>
        <w:spacing w:after="160" w:line="259" w:lineRule="auto"/>
        <w:contextualSpacing/>
      </w:pPr>
      <w:r>
        <w:t xml:space="preserve">No. </w:t>
      </w:r>
      <w:r w:rsidRPr="001A089D">
        <w:t>Providers should submit one claim with two details-one for interpretive services and one for the medical service. A claim submitted for only T1013 without its paired medical service also on the same claim would be denied.</w:t>
      </w:r>
    </w:p>
    <w:p w14:paraId="42761E12" w14:textId="77777777" w:rsidR="00AB0938" w:rsidRPr="001A089D" w:rsidRDefault="00AB0938" w:rsidP="00AB0938">
      <w:pPr>
        <w:pStyle w:val="ListParagraph"/>
        <w:numPr>
          <w:ilvl w:val="1"/>
          <w:numId w:val="2"/>
        </w:numPr>
        <w:spacing w:after="160" w:line="259" w:lineRule="auto"/>
        <w:contextualSpacing/>
      </w:pPr>
      <w:r>
        <w:t>See the “Covered Interpretive Services” section of ForwardHealth Topic #22917 for more information.</w:t>
      </w:r>
    </w:p>
    <w:p w14:paraId="486C65CA" w14:textId="77777777" w:rsidR="00AB0938" w:rsidRPr="001A089D" w:rsidRDefault="00AB0938" w:rsidP="00AB0938">
      <w:pPr>
        <w:pStyle w:val="ListParagraph"/>
        <w:numPr>
          <w:ilvl w:val="0"/>
          <w:numId w:val="2"/>
        </w:numPr>
        <w:spacing w:after="160" w:line="259" w:lineRule="auto"/>
        <w:contextualSpacing/>
      </w:pPr>
      <w:r w:rsidRPr="001A089D">
        <w:t>Are interpreters required to obtain an NPI number?</w:t>
      </w:r>
    </w:p>
    <w:p w14:paraId="0189DAA4" w14:textId="77777777" w:rsidR="00AB0938" w:rsidRDefault="00AB0938" w:rsidP="00AB0938">
      <w:pPr>
        <w:pStyle w:val="ListParagraph"/>
        <w:numPr>
          <w:ilvl w:val="1"/>
          <w:numId w:val="2"/>
        </w:numPr>
        <w:spacing w:after="160" w:line="259" w:lineRule="auto"/>
        <w:contextualSpacing/>
      </w:pPr>
      <w:r>
        <w:t xml:space="preserve">No. </w:t>
      </w:r>
      <w:r w:rsidRPr="001A089D">
        <w:t xml:space="preserve">Interpreters will not be enrolling as Medicaid providers, so an NPI number is not needed. Providers are encouraged to select interpreters that meet criteria for quality interpretation. </w:t>
      </w:r>
    </w:p>
    <w:p w14:paraId="20957A68" w14:textId="77777777" w:rsidR="00AB0938" w:rsidRPr="001A089D" w:rsidRDefault="00AB0938" w:rsidP="00AB0938">
      <w:pPr>
        <w:pStyle w:val="ListParagraph"/>
        <w:numPr>
          <w:ilvl w:val="1"/>
          <w:numId w:val="2"/>
        </w:numPr>
        <w:spacing w:after="160" w:line="259" w:lineRule="auto"/>
        <w:contextualSpacing/>
      </w:pPr>
      <w:r>
        <w:t xml:space="preserve">See the “Interpreter Qualifications” section of </w:t>
      </w:r>
      <w:r w:rsidRPr="001A089D">
        <w:t xml:space="preserve">ForwardHealth Topic #22917 for details on selecting an interpreter that meets quality standards. </w:t>
      </w:r>
    </w:p>
    <w:p w14:paraId="21859D6F" w14:textId="77777777" w:rsidR="00AB0938" w:rsidRPr="001A089D" w:rsidRDefault="00AB0938" w:rsidP="00AB0938">
      <w:pPr>
        <w:pStyle w:val="ListParagraph"/>
        <w:numPr>
          <w:ilvl w:val="0"/>
          <w:numId w:val="2"/>
        </w:numPr>
        <w:spacing w:after="160" w:line="259" w:lineRule="auto"/>
        <w:contextualSpacing/>
      </w:pPr>
      <w:r w:rsidRPr="001A089D">
        <w:t xml:space="preserve">What are the documentation requirements? </w:t>
      </w:r>
    </w:p>
    <w:p w14:paraId="1DF56C67" w14:textId="77777777" w:rsidR="00AB0938" w:rsidRPr="001A089D" w:rsidRDefault="00AB0938" w:rsidP="00AB0938">
      <w:pPr>
        <w:pStyle w:val="ListParagraph"/>
        <w:numPr>
          <w:ilvl w:val="1"/>
          <w:numId w:val="2"/>
        </w:numPr>
        <w:spacing w:after="160" w:line="259" w:lineRule="auto"/>
        <w:contextualSpacing/>
      </w:pPr>
      <w:r>
        <w:t>See the “Covered Interpretive Services” section of ForwardHealth Topic #22917 for detailed information on what documentation is required on claims for interpretive services.</w:t>
      </w:r>
    </w:p>
    <w:p w14:paraId="6B4C68AB" w14:textId="77777777" w:rsidR="00AB0938" w:rsidRPr="001A089D" w:rsidRDefault="00AB0938" w:rsidP="00AB0938">
      <w:pPr>
        <w:pStyle w:val="ListParagraph"/>
        <w:numPr>
          <w:ilvl w:val="1"/>
          <w:numId w:val="2"/>
        </w:numPr>
        <w:spacing w:after="160" w:line="259" w:lineRule="auto"/>
        <w:contextualSpacing/>
      </w:pPr>
      <w:r w:rsidRPr="001A089D">
        <w:lastRenderedPageBreak/>
        <w:t>Providers are reminded that they must follow the documentation retention requirements per Wis. Admin. Code § DHS 106.02(9).</w:t>
      </w:r>
    </w:p>
    <w:p w14:paraId="6D5867FC" w14:textId="77777777" w:rsidR="00AB0938" w:rsidRPr="001A089D" w:rsidRDefault="00AB0938" w:rsidP="00AB0938">
      <w:pPr>
        <w:pStyle w:val="ListParagraph"/>
        <w:numPr>
          <w:ilvl w:val="0"/>
          <w:numId w:val="2"/>
        </w:numPr>
        <w:spacing w:after="160" w:line="259" w:lineRule="auto"/>
        <w:contextualSpacing/>
      </w:pPr>
      <w:r w:rsidRPr="001A089D">
        <w:t xml:space="preserve">How should providers bill interpretive services code T1013? </w:t>
      </w:r>
    </w:p>
    <w:p w14:paraId="739A1A84" w14:textId="77777777" w:rsidR="00AB0938" w:rsidRDefault="00AB0938" w:rsidP="00AB0938">
      <w:pPr>
        <w:pStyle w:val="ListParagraph"/>
        <w:numPr>
          <w:ilvl w:val="1"/>
          <w:numId w:val="2"/>
        </w:numPr>
        <w:spacing w:after="160" w:line="259" w:lineRule="auto"/>
        <w:contextualSpacing/>
      </w:pPr>
      <w:r w:rsidRPr="001A089D">
        <w:t xml:space="preserve">Providers should follow Current Procedural Terminology and HCPCS coding guidance to appropriately document and report procedure codes related to interpretive and medical services on the applicable claim form. Time billed for interpretive services should reflect time spent providing interpretation to the member. </w:t>
      </w:r>
    </w:p>
    <w:p w14:paraId="79F83069" w14:textId="77777777" w:rsidR="00AB0938" w:rsidRPr="001A089D" w:rsidRDefault="00AB0938" w:rsidP="00AB0938">
      <w:pPr>
        <w:pStyle w:val="ListParagraph"/>
        <w:numPr>
          <w:ilvl w:val="1"/>
          <w:numId w:val="2"/>
        </w:numPr>
        <w:spacing w:after="160" w:line="259" w:lineRule="auto"/>
        <w:contextualSpacing/>
      </w:pPr>
      <w:r>
        <w:t>See the “Covered Services” section of ForwardHealth Topic #22917 for more information.</w:t>
      </w:r>
    </w:p>
    <w:p w14:paraId="41663317" w14:textId="77777777" w:rsidR="00AB0938" w:rsidRPr="001A089D" w:rsidRDefault="00AB0938" w:rsidP="00AB0938">
      <w:pPr>
        <w:pStyle w:val="ListParagraph"/>
        <w:numPr>
          <w:ilvl w:val="0"/>
          <w:numId w:val="2"/>
        </w:numPr>
        <w:spacing w:after="160" w:line="259" w:lineRule="auto"/>
        <w:contextualSpacing/>
      </w:pPr>
      <w:r w:rsidRPr="001A089D">
        <w:t xml:space="preserve">Interpretive services provided by the member’s family member such as a parent, spouse, sibling, or child are not eligible for reimbursement.  Can a family member serve as the interpreter for a member?  </w:t>
      </w:r>
    </w:p>
    <w:p w14:paraId="08C2D871" w14:textId="77777777" w:rsidR="00AB0938" w:rsidRPr="001A089D" w:rsidRDefault="00AB0938" w:rsidP="00AB0938">
      <w:pPr>
        <w:pStyle w:val="ListParagraph"/>
        <w:numPr>
          <w:ilvl w:val="1"/>
          <w:numId w:val="2"/>
        </w:numPr>
        <w:spacing w:after="160" w:line="259" w:lineRule="auto"/>
        <w:contextualSpacing/>
      </w:pPr>
      <w:r>
        <w:t>No. Interpretive services provided by the member’s family member such as a parent, spouse, sibling, or child are not reimbursable. See the “Noncovered Services” section of ForwardHealth Topic #22917 for more information. Providers must provide a qualified interpreter to the member when one is requested.</w:t>
      </w:r>
    </w:p>
    <w:p w14:paraId="35F62DC9" w14:textId="77777777" w:rsidR="00AB0938" w:rsidRPr="001A089D" w:rsidRDefault="00AB0938" w:rsidP="00AB0938">
      <w:pPr>
        <w:pStyle w:val="ListParagraph"/>
        <w:numPr>
          <w:ilvl w:val="0"/>
          <w:numId w:val="2"/>
        </w:numPr>
        <w:spacing w:after="160" w:line="259" w:lineRule="auto"/>
        <w:contextualSpacing/>
      </w:pPr>
      <w:r w:rsidRPr="001A089D">
        <w:t xml:space="preserve">Can a provider use an in-house interpreter? </w:t>
      </w:r>
    </w:p>
    <w:p w14:paraId="40473D7A" w14:textId="77777777" w:rsidR="00AB0938" w:rsidRPr="001A089D" w:rsidRDefault="00AB0938" w:rsidP="00AB0938">
      <w:pPr>
        <w:pStyle w:val="ListParagraph"/>
        <w:numPr>
          <w:ilvl w:val="1"/>
          <w:numId w:val="2"/>
        </w:numPr>
        <w:spacing w:after="160" w:line="259" w:lineRule="auto"/>
        <w:contextualSpacing/>
      </w:pPr>
      <w:r>
        <w:t xml:space="preserve">Yes. See the “Covered Interpretive Services” section of ForwardHealth Topic #22917 for more information. </w:t>
      </w:r>
    </w:p>
    <w:p w14:paraId="080E59C6" w14:textId="77777777" w:rsidR="00AB0938" w:rsidRPr="001A089D" w:rsidRDefault="00AB0938" w:rsidP="00AB0938">
      <w:pPr>
        <w:pStyle w:val="ListParagraph"/>
        <w:numPr>
          <w:ilvl w:val="0"/>
          <w:numId w:val="2"/>
        </w:numPr>
        <w:spacing w:after="160" w:line="259" w:lineRule="auto"/>
        <w:contextualSpacing/>
      </w:pPr>
      <w:bookmarkStart w:id="0" w:name="_Hlk142557465"/>
      <w:r w:rsidRPr="001A089D">
        <w:t xml:space="preserve">How do pharmacies receive reimbursement for interpretive services? </w:t>
      </w:r>
    </w:p>
    <w:bookmarkEnd w:id="0"/>
    <w:p w14:paraId="2996BC59" w14:textId="77777777" w:rsidR="00AB0938" w:rsidRPr="001A089D" w:rsidRDefault="00AB0938" w:rsidP="00AB0938">
      <w:pPr>
        <w:pStyle w:val="ListParagraph"/>
        <w:numPr>
          <w:ilvl w:val="1"/>
          <w:numId w:val="2"/>
        </w:numPr>
        <w:spacing w:after="160" w:line="259" w:lineRule="auto"/>
        <w:contextualSpacing/>
      </w:pPr>
      <w:r w:rsidRPr="001A089D">
        <w:t>Pharmacies receive a dispensing fee when billing with a pharmacy claim to account for the dispensing and counseling of a medication, which may include interpretation. T1013 is not able to be billed on Provider Type 24 Pharmacy claims; T1013 must be billed with a HCPCS procedure code.</w:t>
      </w:r>
    </w:p>
    <w:p w14:paraId="16C47DBF" w14:textId="77777777" w:rsidR="00AB0938" w:rsidRPr="001A089D" w:rsidRDefault="00AB0938" w:rsidP="00AB0938">
      <w:pPr>
        <w:pStyle w:val="ListParagraph"/>
        <w:numPr>
          <w:ilvl w:val="0"/>
          <w:numId w:val="2"/>
        </w:numPr>
        <w:spacing w:after="160" w:line="259" w:lineRule="auto"/>
        <w:contextualSpacing/>
      </w:pPr>
      <w:r w:rsidRPr="001A089D">
        <w:t>What places of service and provider types are allowed under interpretive services?</w:t>
      </w:r>
    </w:p>
    <w:p w14:paraId="0B18D2F2" w14:textId="77777777" w:rsidR="00AB0938" w:rsidRPr="001A089D" w:rsidRDefault="00AB0938" w:rsidP="00AB0938">
      <w:pPr>
        <w:pStyle w:val="ListParagraph"/>
        <w:numPr>
          <w:ilvl w:val="1"/>
          <w:numId w:val="2"/>
        </w:numPr>
        <w:spacing w:after="160" w:line="259" w:lineRule="auto"/>
        <w:contextualSpacing/>
      </w:pPr>
      <w:r w:rsidRPr="001A089D">
        <w:t xml:space="preserve">Providers should use the </w:t>
      </w:r>
      <w:hyperlink r:id="rId8" w:history="1">
        <w:r w:rsidRPr="003E3E22">
          <w:rPr>
            <w:rStyle w:val="Hyperlink"/>
          </w:rPr>
          <w:t>max fee schedule</w:t>
        </w:r>
      </w:hyperlink>
      <w:r w:rsidRPr="001A089D">
        <w:t xml:space="preserve"> on ForwardHealth to see what places of services and provider types are allowable. </w:t>
      </w:r>
    </w:p>
    <w:p w14:paraId="52613720" w14:textId="77777777" w:rsidR="00AB0938" w:rsidRPr="001A089D" w:rsidRDefault="00AB0938" w:rsidP="00AB0938">
      <w:pPr>
        <w:pStyle w:val="ListParagraph"/>
        <w:numPr>
          <w:ilvl w:val="0"/>
          <w:numId w:val="2"/>
        </w:numPr>
        <w:spacing w:after="160" w:line="259" w:lineRule="auto"/>
        <w:contextualSpacing/>
      </w:pPr>
      <w:r w:rsidRPr="001A089D">
        <w:t xml:space="preserve">What is the reimbursement rate for interpretive services? </w:t>
      </w:r>
    </w:p>
    <w:p w14:paraId="768C9CB7" w14:textId="77777777" w:rsidR="00AB0938" w:rsidRPr="001A089D" w:rsidRDefault="00AB0938" w:rsidP="00AB0938">
      <w:pPr>
        <w:pStyle w:val="ListParagraph"/>
        <w:numPr>
          <w:ilvl w:val="1"/>
          <w:numId w:val="2"/>
        </w:numPr>
        <w:spacing w:after="160" w:line="259" w:lineRule="auto"/>
        <w:contextualSpacing/>
      </w:pPr>
      <w:r w:rsidRPr="001A089D">
        <w:t xml:space="preserve">Providers should use the </w:t>
      </w:r>
      <w:hyperlink r:id="rId9" w:history="1">
        <w:r w:rsidRPr="003E3E22">
          <w:rPr>
            <w:rStyle w:val="Hyperlink"/>
          </w:rPr>
          <w:t>max fee schedule</w:t>
        </w:r>
      </w:hyperlink>
      <w:r w:rsidRPr="001A089D">
        <w:t xml:space="preserve"> on ForwardHealth to see the reimbursement rate. </w:t>
      </w:r>
    </w:p>
    <w:p w14:paraId="0B650D5F" w14:textId="77777777" w:rsidR="00AB0938" w:rsidRPr="001A089D" w:rsidRDefault="00AB0938" w:rsidP="00AB0938">
      <w:pPr>
        <w:pStyle w:val="ListParagraph"/>
        <w:numPr>
          <w:ilvl w:val="0"/>
          <w:numId w:val="2"/>
        </w:numPr>
        <w:spacing w:after="160" w:line="259" w:lineRule="auto"/>
        <w:contextualSpacing/>
      </w:pPr>
      <w:r w:rsidRPr="001A089D">
        <w:t xml:space="preserve">What modifiers should be used? </w:t>
      </w:r>
    </w:p>
    <w:p w14:paraId="3EBEB6C6" w14:textId="77777777" w:rsidR="00AB0938" w:rsidRPr="001A089D" w:rsidRDefault="00AB0938" w:rsidP="00AB0938">
      <w:pPr>
        <w:pStyle w:val="ListParagraph"/>
        <w:numPr>
          <w:ilvl w:val="1"/>
          <w:numId w:val="2"/>
        </w:numPr>
        <w:spacing w:after="160" w:line="259" w:lineRule="auto"/>
        <w:contextualSpacing/>
      </w:pPr>
      <w:r w:rsidRPr="001A089D">
        <w:t xml:space="preserve">Providers should review the </w:t>
      </w:r>
      <w:r>
        <w:t>“</w:t>
      </w:r>
      <w:r w:rsidRPr="001A089D">
        <w:t>Procedure Code and Modifiers</w:t>
      </w:r>
      <w:r>
        <w:t>”</w:t>
      </w:r>
      <w:r w:rsidRPr="001A089D">
        <w:t xml:space="preserve"> section of ForwardHealth Topic #22917 for details on including the appropriate modifiers on claims. Modifiers should be included to indicate the type of interpretation provided (spoken or sign language) and mode of telehealth, if applicable. </w:t>
      </w:r>
    </w:p>
    <w:p w14:paraId="30B71B23" w14:textId="77777777" w:rsidR="00444594" w:rsidRPr="00C2255C" w:rsidRDefault="00444594" w:rsidP="00444594">
      <w:pPr>
        <w:rPr>
          <w:rFonts w:ascii="Calibri" w:hAnsi="Calibri" w:cs="Calibri"/>
          <w:sz w:val="22"/>
          <w:szCs w:val="22"/>
        </w:rPr>
      </w:pPr>
    </w:p>
    <w:p w14:paraId="7B98CA42" w14:textId="77777777" w:rsidR="00551A9E" w:rsidRDefault="00551A9E"/>
    <w:sectPr w:rsidR="00551A9E" w:rsidSect="0098131E">
      <w:headerReference w:type="default" r:id="rId10"/>
      <w:footerReference w:type="defaul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44634" w14:textId="77777777" w:rsidR="004F2FFB" w:rsidRDefault="004F2FFB">
      <w:r>
        <w:separator/>
      </w:r>
    </w:p>
  </w:endnote>
  <w:endnote w:type="continuationSeparator" w:id="0">
    <w:p w14:paraId="02B982B8" w14:textId="77777777" w:rsidR="004F2FFB" w:rsidRDefault="004F2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F11E7" w14:textId="77777777" w:rsidR="00F01378" w:rsidRPr="0098131E" w:rsidRDefault="00444594">
    <w:pPr>
      <w:pStyle w:val="Footer"/>
      <w:rPr>
        <w:rFonts w:ascii="Tahoma" w:hAnsi="Tahoma" w:cs="Tahoma"/>
      </w:rPr>
    </w:pPr>
    <w:r>
      <w:rPr>
        <w:rStyle w:val="PageNumber"/>
      </w:rPr>
      <w:fldChar w:fldCharType="begin"/>
    </w:r>
    <w:r>
      <w:rPr>
        <w:rStyle w:val="PageNumber"/>
      </w:rPr>
      <w:instrText xml:space="preserve"> PAGE </w:instrText>
    </w:r>
    <w:r>
      <w:rPr>
        <w:rStyle w:val="PageNumber"/>
      </w:rPr>
      <w:fldChar w:fldCharType="separate"/>
    </w:r>
    <w:r w:rsidR="00EF36BE">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9AD78" w14:textId="77777777" w:rsidR="004F2FFB" w:rsidRDefault="004F2FFB">
      <w:r>
        <w:separator/>
      </w:r>
    </w:p>
  </w:footnote>
  <w:footnote w:type="continuationSeparator" w:id="0">
    <w:p w14:paraId="5839390E" w14:textId="77777777" w:rsidR="004F2FFB" w:rsidRDefault="004F2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CB977" w14:textId="77777777" w:rsidR="00F01378" w:rsidRDefault="00444594" w:rsidP="00C36DCE">
    <w:pPr>
      <w:pStyle w:val="Header"/>
      <w:jc w:val="right"/>
      <w:rPr>
        <w:rFonts w:ascii="Calibri" w:hAnsi="Calibri"/>
        <w:b/>
        <w:sz w:val="28"/>
        <w:szCs w:val="28"/>
        <w:lang w:val="en-US"/>
      </w:rPr>
    </w:pPr>
    <w:r w:rsidRPr="00681B56">
      <w:rPr>
        <w:rFonts w:ascii="Calibri" w:hAnsi="Calibri"/>
        <w:b/>
        <w:sz w:val="28"/>
        <w:szCs w:val="28"/>
        <w:lang w:val="en-US"/>
      </w:rPr>
      <w:t>FAQs</w:t>
    </w:r>
    <w:r>
      <w:rPr>
        <w:rFonts w:ascii="Calibri" w:hAnsi="Calibri"/>
        <w:b/>
        <w:sz w:val="28"/>
        <w:szCs w:val="28"/>
        <w:lang w:val="en-US"/>
      </w:rPr>
      <w:t xml:space="preserve"> About </w:t>
    </w:r>
  </w:p>
  <w:p w14:paraId="6E63B05E" w14:textId="3329AB91" w:rsidR="00F01378" w:rsidRPr="00AB0938" w:rsidRDefault="00AB0938" w:rsidP="00697072">
    <w:pPr>
      <w:pStyle w:val="Header"/>
      <w:spacing w:after="100" w:afterAutospacing="1"/>
      <w:jc w:val="right"/>
      <w:rPr>
        <w:rFonts w:ascii="Calibri" w:hAnsi="Calibri"/>
        <w:b/>
        <w:sz w:val="36"/>
        <w:szCs w:val="36"/>
        <w:lang w:val="en-US"/>
      </w:rPr>
    </w:pPr>
    <w:r w:rsidRPr="00AB0938">
      <w:rPr>
        <w:rFonts w:ascii="Calibri" w:hAnsi="Calibri"/>
        <w:b/>
        <w:sz w:val="36"/>
        <w:szCs w:val="36"/>
        <w:lang w:val="en-US"/>
      </w:rPr>
      <w:t>Interpretive Services</w:t>
    </w:r>
  </w:p>
  <w:p w14:paraId="0171F173" w14:textId="1B3C3E80" w:rsidR="00F01378" w:rsidRDefault="00444594" w:rsidP="00C36DCE">
    <w:pPr>
      <w:pStyle w:val="Header"/>
      <w:jc w:val="right"/>
      <w:rPr>
        <w:rFonts w:ascii="Calibri" w:hAnsi="Calibri" w:cs="Calibri"/>
        <w:sz w:val="18"/>
        <w:szCs w:val="18"/>
        <w:lang w:val="en-US"/>
      </w:rPr>
    </w:pPr>
    <w:r w:rsidRPr="00F762F3">
      <w:rPr>
        <w:rFonts w:ascii="Calibri" w:hAnsi="Calibri" w:cs="Calibri"/>
        <w:sz w:val="18"/>
        <w:szCs w:val="18"/>
      </w:rPr>
      <w:t xml:space="preserve">Created: </w:t>
    </w:r>
    <w:r w:rsidR="00AB0938">
      <w:rPr>
        <w:rFonts w:ascii="Calibri" w:hAnsi="Calibri" w:cs="Calibri"/>
        <w:sz w:val="18"/>
        <w:szCs w:val="18"/>
        <w:lang w:val="en-US"/>
      </w:rPr>
      <w:t>08</w:t>
    </w:r>
    <w:r>
      <w:rPr>
        <w:rFonts w:ascii="Calibri" w:hAnsi="Calibri" w:cs="Calibri"/>
        <w:sz w:val="18"/>
        <w:szCs w:val="18"/>
        <w:lang w:val="en-US"/>
      </w:rPr>
      <w:t>/</w:t>
    </w:r>
    <w:r w:rsidR="00AB0938">
      <w:rPr>
        <w:rFonts w:ascii="Calibri" w:hAnsi="Calibri" w:cs="Calibri"/>
        <w:sz w:val="18"/>
        <w:szCs w:val="18"/>
        <w:lang w:val="en-US"/>
      </w:rPr>
      <w:t>01</w:t>
    </w:r>
    <w:r>
      <w:rPr>
        <w:rFonts w:ascii="Calibri" w:hAnsi="Calibri" w:cs="Calibri"/>
        <w:sz w:val="18"/>
        <w:szCs w:val="18"/>
        <w:lang w:val="en-US"/>
      </w:rPr>
      <w:t>/</w:t>
    </w:r>
    <w:r w:rsidR="00AB0938">
      <w:rPr>
        <w:rFonts w:ascii="Calibri" w:hAnsi="Calibri" w:cs="Calibri"/>
        <w:sz w:val="18"/>
        <w:szCs w:val="18"/>
        <w:lang w:val="en-US"/>
      </w:rPr>
      <w:t>2023</w:t>
    </w:r>
  </w:p>
  <w:p w14:paraId="713677DC" w14:textId="6210BA60" w:rsidR="00C27A51" w:rsidRPr="008F7B34" w:rsidRDefault="00C27A51" w:rsidP="00C36DCE">
    <w:pPr>
      <w:pStyle w:val="Header"/>
      <w:jc w:val="right"/>
      <w:rPr>
        <w:rFonts w:ascii="Calibri" w:hAnsi="Calibri" w:cs="Calibri"/>
        <w:sz w:val="18"/>
        <w:szCs w:val="18"/>
        <w:lang w:val="en-US"/>
      </w:rPr>
    </w:pPr>
    <w:r>
      <w:rPr>
        <w:rFonts w:ascii="Calibri" w:hAnsi="Calibri" w:cs="Calibri"/>
        <w:sz w:val="18"/>
        <w:szCs w:val="18"/>
        <w:lang w:val="en-US"/>
      </w:rPr>
      <w:t>Revised: 08/29/2023</w:t>
    </w:r>
  </w:p>
  <w:p w14:paraId="7774940A" w14:textId="77777777" w:rsidR="00F01378" w:rsidRPr="00F762F3" w:rsidRDefault="00000000" w:rsidP="00C36DCE">
    <w:pPr>
      <w:pStyle w:val="Header"/>
      <w:jc w:val="right"/>
      <w:rPr>
        <w:rFonts w:ascii="Calibri" w:hAnsi="Calibri" w:cs="Calibr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40003"/>
    <w:multiLevelType w:val="hybridMultilevel"/>
    <w:tmpl w:val="9550CC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E74160"/>
    <w:multiLevelType w:val="hybridMultilevel"/>
    <w:tmpl w:val="957A13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23980330">
    <w:abstractNumId w:val="1"/>
  </w:num>
  <w:num w:numId="2" w16cid:durableId="556167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594"/>
    <w:rsid w:val="0009565F"/>
    <w:rsid w:val="00156225"/>
    <w:rsid w:val="00444594"/>
    <w:rsid w:val="004F2FFB"/>
    <w:rsid w:val="00551A9E"/>
    <w:rsid w:val="005815BB"/>
    <w:rsid w:val="00650A56"/>
    <w:rsid w:val="008E03B8"/>
    <w:rsid w:val="00937F54"/>
    <w:rsid w:val="00A850D6"/>
    <w:rsid w:val="00AB0938"/>
    <w:rsid w:val="00B5189B"/>
    <w:rsid w:val="00BB06D9"/>
    <w:rsid w:val="00C24066"/>
    <w:rsid w:val="00C27A51"/>
    <w:rsid w:val="00EF3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5D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5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4594"/>
    <w:pPr>
      <w:tabs>
        <w:tab w:val="center" w:pos="4153"/>
        <w:tab w:val="right" w:pos="8306"/>
      </w:tabs>
    </w:pPr>
    <w:rPr>
      <w:lang w:val="x-none" w:eastAsia="x-none"/>
    </w:rPr>
  </w:style>
  <w:style w:type="character" w:customStyle="1" w:styleId="HeaderChar">
    <w:name w:val="Header Char"/>
    <w:basedOn w:val="DefaultParagraphFont"/>
    <w:link w:val="Header"/>
    <w:uiPriority w:val="99"/>
    <w:rsid w:val="00444594"/>
    <w:rPr>
      <w:rFonts w:ascii="Times New Roman" w:eastAsia="Times New Roman" w:hAnsi="Times New Roman" w:cs="Times New Roman"/>
      <w:sz w:val="24"/>
      <w:szCs w:val="24"/>
      <w:lang w:val="x-none" w:eastAsia="x-none"/>
    </w:rPr>
  </w:style>
  <w:style w:type="paragraph" w:styleId="Footer">
    <w:name w:val="footer"/>
    <w:basedOn w:val="Normal"/>
    <w:link w:val="FooterChar"/>
    <w:rsid w:val="00444594"/>
    <w:pPr>
      <w:tabs>
        <w:tab w:val="center" w:pos="4153"/>
        <w:tab w:val="right" w:pos="8306"/>
      </w:tabs>
    </w:pPr>
  </w:style>
  <w:style w:type="character" w:customStyle="1" w:styleId="FooterChar">
    <w:name w:val="Footer Char"/>
    <w:basedOn w:val="DefaultParagraphFont"/>
    <w:link w:val="Footer"/>
    <w:rsid w:val="00444594"/>
    <w:rPr>
      <w:rFonts w:ascii="Times New Roman" w:eastAsia="Times New Roman" w:hAnsi="Times New Roman" w:cs="Times New Roman"/>
      <w:sz w:val="24"/>
      <w:szCs w:val="24"/>
    </w:rPr>
  </w:style>
  <w:style w:type="character" w:styleId="PageNumber">
    <w:name w:val="page number"/>
    <w:basedOn w:val="DefaultParagraphFont"/>
    <w:rsid w:val="00444594"/>
  </w:style>
  <w:style w:type="paragraph" w:styleId="NoSpacing">
    <w:name w:val="No Spacing"/>
    <w:uiPriority w:val="1"/>
    <w:qFormat/>
    <w:rsid w:val="00444594"/>
    <w:pPr>
      <w:spacing w:after="0" w:line="240" w:lineRule="auto"/>
    </w:pPr>
    <w:rPr>
      <w:rFonts w:ascii="Calibri" w:eastAsia="Calibri" w:hAnsi="Calibri" w:cs="Times New Roman"/>
    </w:rPr>
  </w:style>
  <w:style w:type="paragraph" w:styleId="ListParagraph">
    <w:name w:val="List Paragraph"/>
    <w:basedOn w:val="Normal"/>
    <w:uiPriority w:val="34"/>
    <w:qFormat/>
    <w:rsid w:val="00444594"/>
    <w:pPr>
      <w:ind w:left="720"/>
    </w:pPr>
  </w:style>
  <w:style w:type="character" w:styleId="Hyperlink">
    <w:name w:val="Hyperlink"/>
    <w:basedOn w:val="DefaultParagraphFont"/>
    <w:uiPriority w:val="99"/>
    <w:unhideWhenUsed/>
    <w:rsid w:val="00AB09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59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orwardhealth.wi.gov/WIPortal/Subsystem/Publications/MaxFeeHome.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orwardhealth.wi.gov/WIPortal/Subsystem/Publications/MaxFee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InterpretiveServicesFAQfinal</Template>
  <TotalTime>1</TotalTime>
  <Pages>2</Pages>
  <Words>653</Words>
  <Characters>3724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DHS</dc:creator>
  <cp:keywords/>
  <dc:description/>
  <cp:lastModifiedBy>Nichols-Robel, Kyle</cp:lastModifiedBy>
  <cp:revision>2</cp:revision>
  <dcterms:created xsi:type="dcterms:W3CDTF">2023-08-29T16:41:00Z</dcterms:created>
  <dcterms:modified xsi:type="dcterms:W3CDTF">2023-08-29T16:41:00Z</dcterms:modified>
</cp:coreProperties>
</file>